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FA7040">
        <w:rPr>
          <w:rFonts w:ascii="Arial" w:hAnsi="Arial" w:cs="Arial"/>
          <w:sz w:val="24"/>
          <w:szCs w:val="28"/>
          <w:lang w:val="en-CA"/>
        </w:rPr>
        <w:t>bis</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3546C5" w:rsidRPr="00862C73">
        <w:rPr>
          <w:rFonts w:ascii="Arial" w:hAnsi="Arial" w:cs="Arial"/>
          <w:sz w:val="24"/>
          <w:szCs w:val="28"/>
          <w:lang w:val="en-CA"/>
        </w:rPr>
        <w:t>0</w:t>
      </w:r>
      <w:r w:rsidR="00FA7040">
        <w:rPr>
          <w:rFonts w:ascii="Arial" w:hAnsi="Arial" w:cs="Arial"/>
          <w:sz w:val="24"/>
          <w:szCs w:val="28"/>
          <w:lang w:val="en-CA"/>
        </w:rPr>
        <w:t>xxxx</w:t>
      </w:r>
    </w:p>
    <w:p w:rsidR="00D80957" w:rsidRPr="00862C73" w:rsidRDefault="00FA7040" w:rsidP="005A4F39">
      <w:pPr>
        <w:pStyle w:val="Header"/>
        <w:tabs>
          <w:tab w:val="right" w:pos="9072"/>
        </w:tabs>
        <w:rPr>
          <w:rFonts w:ascii="Arial" w:hAnsi="Arial" w:cs="Arial"/>
          <w:sz w:val="24"/>
          <w:szCs w:val="28"/>
          <w:lang w:val="en-CA"/>
        </w:rPr>
      </w:pPr>
      <w:r>
        <w:rPr>
          <w:rFonts w:ascii="Arial" w:hAnsi="Arial" w:cs="Arial"/>
          <w:sz w:val="24"/>
          <w:szCs w:val="28"/>
          <w:lang w:val="en-CA"/>
        </w:rPr>
        <w:t>Dubrovnik</w:t>
      </w:r>
      <w:r w:rsidR="006F2C29" w:rsidRPr="00862C73">
        <w:rPr>
          <w:rFonts w:ascii="Arial" w:hAnsi="Arial" w:cs="Arial"/>
          <w:sz w:val="24"/>
          <w:szCs w:val="28"/>
          <w:lang w:val="en-CA"/>
        </w:rPr>
        <w:t xml:space="preserve">, </w:t>
      </w:r>
      <w:r>
        <w:rPr>
          <w:rFonts w:ascii="Arial" w:hAnsi="Arial" w:cs="Arial"/>
          <w:sz w:val="24"/>
          <w:szCs w:val="28"/>
          <w:lang w:val="en-CA"/>
        </w:rPr>
        <w:t>Croatia</w:t>
      </w:r>
      <w:r w:rsidR="006F2C29" w:rsidRPr="00862C73">
        <w:rPr>
          <w:rFonts w:ascii="Arial" w:hAnsi="Arial" w:cs="Arial"/>
          <w:sz w:val="24"/>
          <w:szCs w:val="28"/>
          <w:lang w:val="en-CA"/>
        </w:rPr>
        <w:t xml:space="preserve">, </w:t>
      </w:r>
      <w:r w:rsidR="008A7145">
        <w:rPr>
          <w:rFonts w:ascii="Arial" w:hAnsi="Arial" w:cs="Arial"/>
          <w:sz w:val="24"/>
          <w:szCs w:val="28"/>
          <w:lang w:val="en-CA"/>
        </w:rPr>
        <w:t>October 9 – 13,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FA7040">
        <w:rPr>
          <w:rFonts w:ascii="Arial" w:hAnsi="Arial" w:cs="Arial"/>
          <w:bCs/>
          <w:sz w:val="22"/>
          <w:szCs w:val="22"/>
          <w:lang w:val="en-CA"/>
        </w:rPr>
        <w:t>5.4.2</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5B323E">
        <w:rPr>
          <w:rFonts w:ascii="Arial" w:hAnsi="Arial" w:cs="Arial"/>
          <w:sz w:val="22"/>
          <w:szCs w:val="22"/>
          <w:lang w:val="en-CA"/>
        </w:rPr>
        <w:t>RF margin for non-BL/CE UE</w:t>
      </w:r>
      <w:r w:rsidR="00FA7040">
        <w:rPr>
          <w:rFonts w:ascii="Arial" w:hAnsi="Arial" w:cs="Arial"/>
          <w:sz w:val="22"/>
          <w:szCs w:val="22"/>
          <w:lang w:val="en-CA"/>
        </w:rPr>
        <w:t xml:space="preserve"> in CE Mode A</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0" w:name="OLE_LINK13"/>
      <w:bookmarkStart w:id="1" w:name="OLE_LINK14"/>
    </w:p>
    <w:p w:rsidR="00F21C53" w:rsidRDefault="007A343D" w:rsidP="005B323E">
      <w:pPr>
        <w:jc w:val="both"/>
        <w:rPr>
          <w:sz w:val="22"/>
          <w:szCs w:val="22"/>
          <w:lang w:val="en-CA"/>
        </w:rPr>
      </w:pPr>
      <w:r>
        <w:rPr>
          <w:sz w:val="22"/>
          <w:szCs w:val="22"/>
          <w:lang w:val="en-CA"/>
        </w:rPr>
        <w:t>A non-BL/CE UE is a regular UE (legacy devic</w:t>
      </w:r>
      <w:bookmarkStart w:id="2" w:name="_GoBack"/>
      <w:bookmarkEnd w:id="2"/>
      <w:r>
        <w:rPr>
          <w:sz w:val="22"/>
          <w:szCs w:val="22"/>
          <w:lang w:val="en-CA"/>
        </w:rPr>
        <w:t xml:space="preserve">e) that can operate as an </w:t>
      </w:r>
      <w:proofErr w:type="spellStart"/>
      <w:r>
        <w:rPr>
          <w:sz w:val="22"/>
          <w:szCs w:val="22"/>
          <w:lang w:val="en-CA"/>
        </w:rPr>
        <w:t>eMTC</w:t>
      </w:r>
      <w:proofErr w:type="spellEnd"/>
      <w:r>
        <w:rPr>
          <w:sz w:val="22"/>
          <w:szCs w:val="22"/>
          <w:lang w:val="en-CA"/>
        </w:rPr>
        <w:t xml:space="preserve"> device when the situation requires it. As such, the non-BL/CE UE has been calibrated according legacy calibration procedures and requirements over the </w:t>
      </w:r>
      <w:r w:rsidR="007F785B">
        <w:rPr>
          <w:sz w:val="22"/>
          <w:szCs w:val="22"/>
          <w:lang w:val="en-CA"/>
        </w:rPr>
        <w:t xml:space="preserve">range </w:t>
      </w:r>
      <w:proofErr w:type="spellStart"/>
      <w:r w:rsidR="007F785B">
        <w:rPr>
          <w:sz w:val="22"/>
          <w:szCs w:val="22"/>
          <w:lang w:val="en-CA"/>
        </w:rPr>
        <w:t>Ês</w:t>
      </w:r>
      <w:proofErr w:type="spellEnd"/>
      <w:r w:rsidR="007F785B">
        <w:rPr>
          <w:sz w:val="22"/>
          <w:szCs w:val="22"/>
          <w:lang w:val="en-CA"/>
        </w:rPr>
        <w:t>/</w:t>
      </w:r>
      <w:proofErr w:type="spellStart"/>
      <w:r w:rsidR="007F785B">
        <w:rPr>
          <w:sz w:val="22"/>
          <w:szCs w:val="22"/>
          <w:lang w:val="en-CA"/>
        </w:rPr>
        <w:t>Iot</w:t>
      </w:r>
      <w:proofErr w:type="spellEnd"/>
      <w:r>
        <w:rPr>
          <w:sz w:val="22"/>
          <w:szCs w:val="22"/>
          <w:lang w:val="en-CA"/>
        </w:rPr>
        <w:t xml:space="preserve"> ≥ -6dB, using an RF margin of ±2.5dB. At the same time, an </w:t>
      </w:r>
      <w:proofErr w:type="spellStart"/>
      <w:r>
        <w:rPr>
          <w:sz w:val="22"/>
          <w:szCs w:val="22"/>
          <w:lang w:val="en-CA"/>
        </w:rPr>
        <w:t>eMTC</w:t>
      </w:r>
      <w:proofErr w:type="spellEnd"/>
      <w:r>
        <w:rPr>
          <w:sz w:val="22"/>
          <w:szCs w:val="22"/>
          <w:lang w:val="en-CA"/>
        </w:rPr>
        <w:t xml:space="preserve"> device has been calibrated over the same range (CE Mode A) using an RF margin of ±4dB.</w:t>
      </w:r>
    </w:p>
    <w:p w:rsidR="00795BA1" w:rsidRPr="00862C73" w:rsidRDefault="00D5729C" w:rsidP="00BD2156">
      <w:pPr>
        <w:jc w:val="both"/>
        <w:rPr>
          <w:sz w:val="22"/>
          <w:szCs w:val="22"/>
          <w:lang w:val="en-CA"/>
        </w:rPr>
      </w:pPr>
      <w:r>
        <w:rPr>
          <w:sz w:val="22"/>
          <w:szCs w:val="22"/>
          <w:lang w:val="en-CA"/>
        </w:rPr>
        <w:t xml:space="preserve">In this contribution, we are arguing for a tightened measurement tolerance </w:t>
      </w:r>
      <w:r w:rsidR="007A343D">
        <w:rPr>
          <w:sz w:val="22"/>
          <w:szCs w:val="22"/>
          <w:lang w:val="en-CA"/>
        </w:rPr>
        <w:t xml:space="preserve">for non-BL/CE UEs operating in CE Mode A, as the non-BL/CE UE has been calibrated using a ±1.5dB tighter RF margin than the pure </w:t>
      </w:r>
      <w:proofErr w:type="spellStart"/>
      <w:r w:rsidR="007A343D">
        <w:rPr>
          <w:sz w:val="22"/>
          <w:szCs w:val="22"/>
          <w:lang w:val="en-CA"/>
        </w:rPr>
        <w:t>eMTC</w:t>
      </w:r>
      <w:proofErr w:type="spellEnd"/>
      <w:r w:rsidR="007A343D">
        <w:rPr>
          <w:sz w:val="22"/>
          <w:szCs w:val="22"/>
          <w:lang w:val="en-CA"/>
        </w:rPr>
        <w:t xml:space="preserve"> device.</w:t>
      </w:r>
    </w:p>
    <w:p w:rsidR="006201C2" w:rsidRDefault="00D5729C" w:rsidP="00795BA1">
      <w:pPr>
        <w:pStyle w:val="Heading1"/>
        <w:ind w:left="431" w:hanging="431"/>
        <w:rPr>
          <w:szCs w:val="36"/>
          <w:lang w:val="en-CA"/>
        </w:rPr>
      </w:pPr>
      <w:r>
        <w:rPr>
          <w:szCs w:val="36"/>
          <w:lang w:val="en-CA"/>
        </w:rPr>
        <w:t>Discussion</w:t>
      </w:r>
    </w:p>
    <w:p w:rsidR="00CA3F28" w:rsidRDefault="00764306" w:rsidP="00CA3F28">
      <w:pPr>
        <w:jc w:val="both"/>
        <w:rPr>
          <w:sz w:val="22"/>
        </w:rPr>
      </w:pPr>
      <w:r w:rsidRPr="00764306">
        <w:rPr>
          <w:sz w:val="22"/>
        </w:rPr>
        <w:t xml:space="preserve">At RAN4#72bis meeting it was agreed to tighten the RF margin </w:t>
      </w:r>
      <w:r w:rsidR="00CA3F28">
        <w:rPr>
          <w:sz w:val="22"/>
        </w:rPr>
        <w:t xml:space="preserve">for legacy UEs (Rel-8 to Rel-11) </w:t>
      </w:r>
      <w:r w:rsidRPr="00764306">
        <w:rPr>
          <w:sz w:val="22"/>
        </w:rPr>
        <w:t xml:space="preserve">from  </w:t>
      </w:r>
      <w:r w:rsidRPr="00764306">
        <w:rPr>
          <w:sz w:val="22"/>
        </w:rPr>
        <w:sym w:font="Symbol" w:char="F0B1"/>
      </w:r>
      <w:r w:rsidRPr="00764306">
        <w:rPr>
          <w:sz w:val="22"/>
        </w:rPr>
        <w:t xml:space="preserve">4dB to  </w:t>
      </w:r>
      <w:r w:rsidRPr="00764306">
        <w:rPr>
          <w:sz w:val="22"/>
        </w:rPr>
        <w:sym w:font="Symbol" w:char="F0B1"/>
      </w:r>
      <w:r w:rsidRPr="00764306">
        <w:rPr>
          <w:sz w:val="22"/>
        </w:rPr>
        <w:t xml:space="preserve">2.5 dB, i.e. an improvement by </w:t>
      </w:r>
      <w:r w:rsidRPr="00764306">
        <w:rPr>
          <w:sz w:val="22"/>
        </w:rPr>
        <w:sym w:font="Symbol" w:char="F0B1"/>
      </w:r>
      <w:r w:rsidRPr="00764306">
        <w:rPr>
          <w:sz w:val="22"/>
        </w:rPr>
        <w:t xml:space="preserve">1.5 </w:t>
      </w:r>
      <w:proofErr w:type="spellStart"/>
      <w:r w:rsidRPr="00764306">
        <w:rPr>
          <w:sz w:val="22"/>
        </w:rPr>
        <w:t>dB</w:t>
      </w:r>
      <w:r w:rsidR="00CA3F28">
        <w:rPr>
          <w:sz w:val="22"/>
        </w:rPr>
        <w:t>.</w:t>
      </w:r>
      <w:proofErr w:type="spellEnd"/>
      <w:r w:rsidR="00CA3F28">
        <w:rPr>
          <w:sz w:val="22"/>
        </w:rPr>
        <w:t xml:space="preserve"> The rationale was that calibration procedures had improved hence a smaller margin could be introduced without imposing additional effort on the UE production process.</w:t>
      </w:r>
    </w:p>
    <w:p w:rsidR="00CA3F28" w:rsidRDefault="00CA3F28" w:rsidP="00CA3F28">
      <w:pPr>
        <w:jc w:val="both"/>
        <w:rPr>
          <w:sz w:val="22"/>
        </w:rPr>
      </w:pPr>
      <w:r>
        <w:rPr>
          <w:sz w:val="22"/>
        </w:rPr>
        <w:t xml:space="preserve">In </w:t>
      </w:r>
      <w:r>
        <w:rPr>
          <w:sz w:val="22"/>
        </w:rPr>
        <w:fldChar w:fldCharType="begin"/>
      </w:r>
      <w:r>
        <w:rPr>
          <w:sz w:val="22"/>
        </w:rPr>
        <w:instrText xml:space="preserve"> REF _Ref489990903 \r \h </w:instrText>
      </w:r>
      <w:r>
        <w:rPr>
          <w:sz w:val="22"/>
        </w:rPr>
      </w:r>
      <w:r>
        <w:rPr>
          <w:sz w:val="22"/>
        </w:rPr>
        <w:fldChar w:fldCharType="separate"/>
      </w:r>
      <w:r w:rsidR="007F785B">
        <w:rPr>
          <w:sz w:val="22"/>
        </w:rPr>
        <w:t>[1]</w:t>
      </w:r>
      <w:r>
        <w:rPr>
          <w:sz w:val="22"/>
        </w:rPr>
        <w:fldChar w:fldCharType="end"/>
      </w:r>
      <w:r>
        <w:rPr>
          <w:sz w:val="22"/>
        </w:rPr>
        <w:t xml:space="preserve"> an attempt was made to tighten the requirements also for Rel-13 </w:t>
      </w:r>
      <w:proofErr w:type="spellStart"/>
      <w:r>
        <w:rPr>
          <w:sz w:val="22"/>
        </w:rPr>
        <w:t>eMTC</w:t>
      </w:r>
      <w:proofErr w:type="spellEnd"/>
      <w:r>
        <w:rPr>
          <w:sz w:val="22"/>
        </w:rPr>
        <w:t xml:space="preserve"> devices with the rationale that the requirements had been tightened for legacy UEs. This was however not accepted by UE and chipset vendors,</w:t>
      </w:r>
      <w:r w:rsidR="00AB1214">
        <w:rPr>
          <w:sz w:val="22"/>
        </w:rPr>
        <w:t xml:space="preserve"> who argued that </w:t>
      </w:r>
      <w:proofErr w:type="spellStart"/>
      <w:r w:rsidR="00AB1214">
        <w:rPr>
          <w:sz w:val="22"/>
        </w:rPr>
        <w:t>eMTC</w:t>
      </w:r>
      <w:proofErr w:type="spellEnd"/>
      <w:r w:rsidR="00AB1214">
        <w:rPr>
          <w:sz w:val="22"/>
        </w:rPr>
        <w:t xml:space="preserve"> devices are single Rx low-cost devices and hence that as good calibration as for legacy UEs could not be expected. As a </w:t>
      </w:r>
      <w:proofErr w:type="gramStart"/>
      <w:r w:rsidR="00AB1214">
        <w:rPr>
          <w:sz w:val="22"/>
        </w:rPr>
        <w:t>result</w:t>
      </w:r>
      <w:proofErr w:type="gramEnd"/>
      <w:r w:rsidR="00AB1214">
        <w:rPr>
          <w:sz w:val="22"/>
        </w:rPr>
        <w:t xml:space="preserve"> the original RF margin remained for Rel-13 </w:t>
      </w:r>
      <w:proofErr w:type="spellStart"/>
      <w:r w:rsidR="00AB1214">
        <w:rPr>
          <w:sz w:val="22"/>
        </w:rPr>
        <w:t>eMTC</w:t>
      </w:r>
      <w:proofErr w:type="spellEnd"/>
      <w:r w:rsidR="00AB1214">
        <w:rPr>
          <w:sz w:val="22"/>
        </w:rPr>
        <w:t xml:space="preserve">, with and additional relaxation below </w:t>
      </w:r>
      <w:proofErr w:type="spellStart"/>
      <w:r w:rsidR="00AB1214">
        <w:rPr>
          <w:sz w:val="22"/>
        </w:rPr>
        <w:t>Ês</w:t>
      </w:r>
      <w:proofErr w:type="spellEnd"/>
      <w:r w:rsidR="00AB1214">
        <w:rPr>
          <w:sz w:val="22"/>
        </w:rPr>
        <w:t>/</w:t>
      </w:r>
      <w:proofErr w:type="spellStart"/>
      <w:r w:rsidR="00AB1214">
        <w:rPr>
          <w:sz w:val="22"/>
        </w:rPr>
        <w:t>Iot</w:t>
      </w:r>
      <w:proofErr w:type="spellEnd"/>
      <w:r w:rsidR="00AB1214">
        <w:rPr>
          <w:sz w:val="22"/>
        </w:rPr>
        <w:t xml:space="preserve"> of -12dB by 1dB (hence ±5 dB).</w:t>
      </w:r>
    </w:p>
    <w:p w:rsidR="00AB1214" w:rsidRDefault="00AB1214" w:rsidP="00CA3F28">
      <w:pPr>
        <w:jc w:val="both"/>
        <w:rPr>
          <w:sz w:val="22"/>
        </w:rPr>
      </w:pPr>
      <w:r>
        <w:rPr>
          <w:b/>
          <w:sz w:val="22"/>
        </w:rPr>
        <w:t>Observation 1:</w:t>
      </w:r>
      <w:r>
        <w:rPr>
          <w:sz w:val="22"/>
        </w:rPr>
        <w:t xml:space="preserve"> The rationale to keep the original Rel-8 RF margin for </w:t>
      </w:r>
      <w:proofErr w:type="spellStart"/>
      <w:r>
        <w:rPr>
          <w:sz w:val="22"/>
        </w:rPr>
        <w:t>eMTC</w:t>
      </w:r>
      <w:proofErr w:type="spellEnd"/>
      <w:r>
        <w:rPr>
          <w:sz w:val="22"/>
        </w:rPr>
        <w:t xml:space="preserve"> when the same was tightened by 1.5dB for Rel-8 to Rel-11 legacy UEs was that </w:t>
      </w:r>
      <w:proofErr w:type="spellStart"/>
      <w:r>
        <w:rPr>
          <w:sz w:val="22"/>
        </w:rPr>
        <w:t>eMTC</w:t>
      </w:r>
      <w:proofErr w:type="spellEnd"/>
      <w:r>
        <w:rPr>
          <w:sz w:val="22"/>
        </w:rPr>
        <w:t xml:space="preserve"> devices are low-cost devices with only a single Rx branch.</w:t>
      </w:r>
    </w:p>
    <w:p w:rsidR="00EE3CA1" w:rsidRDefault="00EE3CA1" w:rsidP="00CA3F28">
      <w:pPr>
        <w:jc w:val="both"/>
        <w:rPr>
          <w:sz w:val="22"/>
        </w:rPr>
      </w:pPr>
      <w:r>
        <w:rPr>
          <w:sz w:val="22"/>
        </w:rPr>
        <w:t>The lately emerged non-BL/CE</w:t>
      </w:r>
      <w:r w:rsidR="00AB1214">
        <w:rPr>
          <w:sz w:val="22"/>
        </w:rPr>
        <w:t xml:space="preserve"> UE is essentially a regular UE with at least two Rx branches that can op</w:t>
      </w:r>
      <w:r>
        <w:rPr>
          <w:sz w:val="22"/>
        </w:rPr>
        <w:t xml:space="preserve">erate as an </w:t>
      </w:r>
      <w:proofErr w:type="spellStart"/>
      <w:r>
        <w:rPr>
          <w:sz w:val="22"/>
        </w:rPr>
        <w:t>eMTC</w:t>
      </w:r>
      <w:proofErr w:type="spellEnd"/>
      <w:r>
        <w:rPr>
          <w:sz w:val="22"/>
        </w:rPr>
        <w:t xml:space="preserve"> device when called for by the</w:t>
      </w:r>
      <w:r w:rsidR="00AB1214">
        <w:rPr>
          <w:sz w:val="22"/>
        </w:rPr>
        <w:t xml:space="preserve"> situati</w:t>
      </w:r>
      <w:r>
        <w:rPr>
          <w:sz w:val="22"/>
        </w:rPr>
        <w:t>on</w:t>
      </w:r>
      <w:r w:rsidR="00AB1214">
        <w:rPr>
          <w:sz w:val="22"/>
        </w:rPr>
        <w:t>. Therefore</w:t>
      </w:r>
      <w:r>
        <w:rPr>
          <w:sz w:val="22"/>
        </w:rPr>
        <w:t>,</w:t>
      </w:r>
      <w:r w:rsidR="007A343D">
        <w:rPr>
          <w:sz w:val="22"/>
        </w:rPr>
        <w:t xml:space="preserve"> non-BL/CE UEs undergo a legacy </w:t>
      </w:r>
      <w:r w:rsidR="00AB1214">
        <w:rPr>
          <w:sz w:val="22"/>
        </w:rPr>
        <w:t>calibra</w:t>
      </w:r>
      <w:r w:rsidR="007A343D">
        <w:rPr>
          <w:sz w:val="22"/>
        </w:rPr>
        <w:t xml:space="preserve">tion procedure </w:t>
      </w:r>
      <w:r w:rsidR="007F785B">
        <w:rPr>
          <w:sz w:val="22"/>
        </w:rPr>
        <w:t xml:space="preserve">for the </w:t>
      </w:r>
      <w:proofErr w:type="spellStart"/>
      <w:r w:rsidR="007F785B">
        <w:rPr>
          <w:sz w:val="22"/>
        </w:rPr>
        <w:t>Ês</w:t>
      </w:r>
      <w:proofErr w:type="spellEnd"/>
      <w:r w:rsidR="007F785B">
        <w:rPr>
          <w:sz w:val="22"/>
        </w:rPr>
        <w:t>/</w:t>
      </w:r>
      <w:proofErr w:type="spellStart"/>
      <w:r w:rsidR="007F785B">
        <w:rPr>
          <w:sz w:val="22"/>
        </w:rPr>
        <w:t>Iot</w:t>
      </w:r>
      <w:proofErr w:type="spellEnd"/>
      <w:r w:rsidR="00E437AC">
        <w:rPr>
          <w:sz w:val="22"/>
        </w:rPr>
        <w:t xml:space="preserve"> ≥ -6dB range</w:t>
      </w:r>
      <w:r w:rsidR="00AB1214">
        <w:rPr>
          <w:sz w:val="22"/>
        </w:rPr>
        <w:t xml:space="preserve">, and hence when operating as legacy UE, do so under the assumption of an RF margin of ±2.5dB rather than the ±4dB that is applicable for </w:t>
      </w:r>
      <w:r>
        <w:rPr>
          <w:sz w:val="22"/>
        </w:rPr>
        <w:t xml:space="preserve">BL UEs. This means that the non-BL/CE UE is factory calibrated according to tighter requirements than BL UEs, and hence shall be able to fulfil </w:t>
      </w:r>
      <w:r w:rsidR="00E437AC">
        <w:rPr>
          <w:sz w:val="22"/>
        </w:rPr>
        <w:t>tighter RF margin than a BL UE</w:t>
      </w:r>
    </w:p>
    <w:p w:rsidR="00EE3CA1" w:rsidRDefault="00EE3CA1" w:rsidP="00EE3CA1">
      <w:pPr>
        <w:jc w:val="both"/>
        <w:rPr>
          <w:sz w:val="22"/>
        </w:rPr>
      </w:pPr>
      <w:r>
        <w:rPr>
          <w:b/>
          <w:sz w:val="22"/>
        </w:rPr>
        <w:t>Observation 2:</w:t>
      </w:r>
      <w:r>
        <w:rPr>
          <w:sz w:val="22"/>
        </w:rPr>
        <w:t xml:space="preserve"> A non-BL UE undergoes calibration procedures according to legacy UEs</w:t>
      </w:r>
      <w:r w:rsidR="007F785B">
        <w:rPr>
          <w:sz w:val="22"/>
        </w:rPr>
        <w:t xml:space="preserve"> for </w:t>
      </w:r>
      <w:proofErr w:type="spellStart"/>
      <w:r w:rsidR="007F785B">
        <w:rPr>
          <w:sz w:val="22"/>
        </w:rPr>
        <w:t>Ês</w:t>
      </w:r>
      <w:proofErr w:type="spellEnd"/>
      <w:r w:rsidR="007F785B">
        <w:rPr>
          <w:sz w:val="22"/>
        </w:rPr>
        <w:t>/</w:t>
      </w:r>
      <w:proofErr w:type="spellStart"/>
      <w:r w:rsidR="007F785B">
        <w:rPr>
          <w:sz w:val="22"/>
        </w:rPr>
        <w:t>Iot</w:t>
      </w:r>
      <w:proofErr w:type="spellEnd"/>
      <w:r w:rsidR="007F785B">
        <w:rPr>
          <w:sz w:val="22"/>
        </w:rPr>
        <w:t xml:space="preserve"> ≥ -6dB</w:t>
      </w:r>
      <w:r>
        <w:rPr>
          <w:sz w:val="22"/>
        </w:rPr>
        <w:t xml:space="preserve">, and hence are factory calibrated within an RF margin of ±2.5dB rather than the ±4dB applicable for BL UEs. </w:t>
      </w:r>
    </w:p>
    <w:p w:rsidR="00097BB2" w:rsidRDefault="00EE3CA1" w:rsidP="00EE3CA1">
      <w:pPr>
        <w:jc w:val="both"/>
        <w:rPr>
          <w:sz w:val="22"/>
        </w:rPr>
      </w:pPr>
      <w:r>
        <w:rPr>
          <w:sz w:val="22"/>
        </w:rPr>
        <w:t>T</w:t>
      </w:r>
      <w:r w:rsidR="007F785B">
        <w:rPr>
          <w:sz w:val="22"/>
        </w:rPr>
        <w:t xml:space="preserve">he measurement accuracy is </w:t>
      </w:r>
      <w:r>
        <w:rPr>
          <w:sz w:val="22"/>
        </w:rPr>
        <w:t xml:space="preserve">important for </w:t>
      </w:r>
      <w:r w:rsidR="007F785B">
        <w:rPr>
          <w:sz w:val="22"/>
        </w:rPr>
        <w:t xml:space="preserve">the mobility function, and </w:t>
      </w:r>
      <w:r>
        <w:rPr>
          <w:sz w:val="22"/>
        </w:rPr>
        <w:t xml:space="preserve">has a large impact on the achievable system capacity. Therefore, reducing the uncertainty in the mobility decisions, CE mode operation, and repetition level selection is important from system point of view. For non-BL UEs to be distinguished from BL UEs there needs to be a benefit on system level, hence we propose that </w:t>
      </w:r>
      <w:r w:rsidR="00097BB2">
        <w:rPr>
          <w:sz w:val="22"/>
        </w:rPr>
        <w:t xml:space="preserve">on top of potential tightening of measurement accuracy stemming from physical layer processing, non-BL UEs </w:t>
      </w:r>
      <w:r w:rsidR="007F785B">
        <w:rPr>
          <w:sz w:val="22"/>
        </w:rPr>
        <w:t xml:space="preserve">operating in CE Mode A </w:t>
      </w:r>
      <w:r w:rsidR="00097BB2">
        <w:rPr>
          <w:sz w:val="22"/>
        </w:rPr>
        <w:t>are to fulfil requirements that are based on an RF margin for legacy UEs. In other words, non-BL/CE UEs are to fulfil requirements that are based on a RF ma</w:t>
      </w:r>
      <w:r w:rsidR="007F785B">
        <w:rPr>
          <w:sz w:val="22"/>
        </w:rPr>
        <w:t xml:space="preserve">rgin of ±2.5dB rather than ±4dB for </w:t>
      </w:r>
      <w:proofErr w:type="spellStart"/>
      <w:r w:rsidR="007F785B">
        <w:rPr>
          <w:sz w:val="22"/>
        </w:rPr>
        <w:t>Ês</w:t>
      </w:r>
      <w:proofErr w:type="spellEnd"/>
      <w:r w:rsidR="007F785B">
        <w:rPr>
          <w:sz w:val="22"/>
        </w:rPr>
        <w:t>/</w:t>
      </w:r>
      <w:proofErr w:type="spellStart"/>
      <w:r w:rsidR="007F785B">
        <w:rPr>
          <w:sz w:val="22"/>
        </w:rPr>
        <w:t>Iot</w:t>
      </w:r>
      <w:proofErr w:type="spellEnd"/>
      <w:r w:rsidR="007F785B">
        <w:rPr>
          <w:sz w:val="22"/>
        </w:rPr>
        <w:t xml:space="preserve"> ≥ -6dB.</w:t>
      </w:r>
    </w:p>
    <w:p w:rsidR="00D5729C" w:rsidRPr="00097BB2" w:rsidRDefault="00097BB2" w:rsidP="00097BB2">
      <w:pPr>
        <w:jc w:val="both"/>
        <w:rPr>
          <w:sz w:val="22"/>
        </w:rPr>
      </w:pPr>
      <w:r>
        <w:rPr>
          <w:b/>
          <w:sz w:val="22"/>
        </w:rPr>
        <w:t>Proposal 1:</w:t>
      </w:r>
      <w:r>
        <w:rPr>
          <w:sz w:val="22"/>
        </w:rPr>
        <w:t xml:space="preserve"> The RF margin for non-BL/CE UEs shall be 1.</w:t>
      </w:r>
      <w:r w:rsidR="007F785B">
        <w:rPr>
          <w:sz w:val="22"/>
        </w:rPr>
        <w:t>5dB lower than for BL UEs in</w:t>
      </w:r>
      <w:r>
        <w:rPr>
          <w:sz w:val="22"/>
        </w:rPr>
        <w:t xml:space="preserve"> the </w:t>
      </w:r>
      <w:r w:rsidR="00E437AC">
        <w:rPr>
          <w:sz w:val="22"/>
        </w:rPr>
        <w:t>CE Mode A</w:t>
      </w:r>
      <w:r>
        <w:rPr>
          <w:sz w:val="22"/>
        </w:rPr>
        <w:t xml:space="preserve"> range of </w:t>
      </w:r>
      <w:proofErr w:type="spellStart"/>
      <w:r>
        <w:rPr>
          <w:sz w:val="22"/>
        </w:rPr>
        <w:t>Ês</w:t>
      </w:r>
      <w:proofErr w:type="spellEnd"/>
      <w:r>
        <w:rPr>
          <w:sz w:val="22"/>
        </w:rPr>
        <w:t>/</w:t>
      </w:r>
      <w:proofErr w:type="spellStart"/>
      <w:r>
        <w:rPr>
          <w:sz w:val="22"/>
        </w:rPr>
        <w:t>Iot</w:t>
      </w:r>
      <w:proofErr w:type="spellEnd"/>
      <w:r>
        <w:rPr>
          <w:sz w:val="22"/>
        </w:rPr>
        <w:t>.</w:t>
      </w:r>
    </w:p>
    <w:p w:rsidR="00A37A7F" w:rsidRDefault="00D5729C" w:rsidP="00D5729C">
      <w:pPr>
        <w:pStyle w:val="Heading1"/>
        <w:rPr>
          <w:lang w:val="en-CA"/>
        </w:rPr>
      </w:pPr>
      <w:r>
        <w:rPr>
          <w:lang w:val="en-CA"/>
        </w:rPr>
        <w:lastRenderedPageBreak/>
        <w:t>Summary and Conclusion</w:t>
      </w:r>
    </w:p>
    <w:p w:rsidR="00817D11" w:rsidRDefault="00097BB2" w:rsidP="00A37A7F">
      <w:pPr>
        <w:rPr>
          <w:sz w:val="22"/>
          <w:lang w:val="en-CA"/>
        </w:rPr>
      </w:pPr>
      <w:r w:rsidRPr="00097BB2">
        <w:rPr>
          <w:sz w:val="22"/>
          <w:lang w:val="en-CA"/>
        </w:rPr>
        <w:t>In this contributio</w:t>
      </w:r>
      <w:r w:rsidR="007F785B">
        <w:rPr>
          <w:sz w:val="22"/>
          <w:lang w:val="en-CA"/>
        </w:rPr>
        <w:t xml:space="preserve">n, we argue for that a non-BL/CE UE </w:t>
      </w:r>
      <w:r w:rsidRPr="00097BB2">
        <w:rPr>
          <w:sz w:val="22"/>
          <w:lang w:val="en-CA"/>
        </w:rPr>
        <w:t>shall fulfill</w:t>
      </w:r>
      <w:r w:rsidR="005E5D54">
        <w:rPr>
          <w:sz w:val="22"/>
          <w:lang w:val="en-CA"/>
        </w:rPr>
        <w:t xml:space="preserve"> requirements that are based </w:t>
      </w:r>
      <w:r w:rsidR="007F785B">
        <w:rPr>
          <w:sz w:val="22"/>
          <w:lang w:val="en-CA"/>
        </w:rPr>
        <w:t>on the RF margin of a legacy UE when SINR ≥ -6dB i.e. when it is operating in CE Mode A.</w:t>
      </w:r>
    </w:p>
    <w:p w:rsidR="005E5D54" w:rsidRDefault="005E5D54" w:rsidP="00A37A7F">
      <w:pPr>
        <w:rPr>
          <w:sz w:val="22"/>
          <w:lang w:val="en-CA"/>
        </w:rPr>
      </w:pPr>
      <w:r>
        <w:rPr>
          <w:sz w:val="22"/>
          <w:lang w:val="en-CA"/>
        </w:rPr>
        <w:t>The following observations are made:</w:t>
      </w:r>
    </w:p>
    <w:p w:rsidR="007F785B" w:rsidRDefault="007F785B" w:rsidP="007F785B">
      <w:pPr>
        <w:jc w:val="both"/>
        <w:rPr>
          <w:sz w:val="22"/>
        </w:rPr>
      </w:pPr>
      <w:r>
        <w:rPr>
          <w:b/>
          <w:sz w:val="22"/>
        </w:rPr>
        <w:t>Observation 1:</w:t>
      </w:r>
      <w:r>
        <w:rPr>
          <w:sz w:val="22"/>
        </w:rPr>
        <w:t xml:space="preserve"> The rationale to keep the original Rel-8 RF margin for </w:t>
      </w:r>
      <w:proofErr w:type="spellStart"/>
      <w:r>
        <w:rPr>
          <w:sz w:val="22"/>
        </w:rPr>
        <w:t>eMTC</w:t>
      </w:r>
      <w:proofErr w:type="spellEnd"/>
      <w:r>
        <w:rPr>
          <w:sz w:val="22"/>
        </w:rPr>
        <w:t xml:space="preserve"> when the same was tightened by 1.5dB for Rel-8 to Rel-11 legacy UEs was that </w:t>
      </w:r>
      <w:proofErr w:type="spellStart"/>
      <w:r>
        <w:rPr>
          <w:sz w:val="22"/>
        </w:rPr>
        <w:t>eMTC</w:t>
      </w:r>
      <w:proofErr w:type="spellEnd"/>
      <w:r>
        <w:rPr>
          <w:sz w:val="22"/>
        </w:rPr>
        <w:t xml:space="preserve"> devices are low-cost devices with only a single Rx branch.</w:t>
      </w:r>
    </w:p>
    <w:p w:rsidR="007F785B" w:rsidRDefault="007F785B" w:rsidP="007F785B">
      <w:pPr>
        <w:jc w:val="both"/>
        <w:rPr>
          <w:sz w:val="22"/>
        </w:rPr>
      </w:pPr>
      <w:r>
        <w:rPr>
          <w:b/>
          <w:sz w:val="22"/>
        </w:rPr>
        <w:t>Observation 2:</w:t>
      </w:r>
      <w:r>
        <w:rPr>
          <w:sz w:val="22"/>
        </w:rPr>
        <w:t xml:space="preserve"> A non-BL UE undergoes calibration procedures according to legacy UEs for </w:t>
      </w:r>
      <w:proofErr w:type="spellStart"/>
      <w:r>
        <w:rPr>
          <w:sz w:val="22"/>
        </w:rPr>
        <w:t>Ês</w:t>
      </w:r>
      <w:proofErr w:type="spellEnd"/>
      <w:r>
        <w:rPr>
          <w:sz w:val="22"/>
        </w:rPr>
        <w:t>/</w:t>
      </w:r>
      <w:proofErr w:type="spellStart"/>
      <w:r>
        <w:rPr>
          <w:sz w:val="22"/>
        </w:rPr>
        <w:t>Iot</w:t>
      </w:r>
      <w:proofErr w:type="spellEnd"/>
      <w:r>
        <w:rPr>
          <w:sz w:val="22"/>
        </w:rPr>
        <w:t xml:space="preserve"> ≥ -6dB, and hence are factory calibrated within an RF margin of ±2.5dB rather than the ±4dB applicable for BL UEs. </w:t>
      </w:r>
    </w:p>
    <w:p w:rsidR="005E5D54" w:rsidRDefault="005E5D54" w:rsidP="00A37A7F">
      <w:pPr>
        <w:rPr>
          <w:sz w:val="22"/>
        </w:rPr>
      </w:pPr>
      <w:r>
        <w:rPr>
          <w:sz w:val="22"/>
        </w:rPr>
        <w:t>Based on the observations, we propose the following:</w:t>
      </w:r>
    </w:p>
    <w:p w:rsidR="005E5D54" w:rsidRPr="005E5D54" w:rsidRDefault="005E5D54" w:rsidP="005E5D54">
      <w:pPr>
        <w:jc w:val="both"/>
        <w:rPr>
          <w:sz w:val="22"/>
        </w:rPr>
      </w:pPr>
      <w:r>
        <w:rPr>
          <w:b/>
          <w:sz w:val="22"/>
        </w:rPr>
        <w:t>Proposal 1:</w:t>
      </w:r>
      <w:r>
        <w:rPr>
          <w:sz w:val="22"/>
        </w:rPr>
        <w:t xml:space="preserve"> </w:t>
      </w:r>
      <w:r w:rsidR="007F785B">
        <w:rPr>
          <w:sz w:val="22"/>
        </w:rPr>
        <w:t>The RF margin for non-BL/CE UEs shall be 1.5dB lower than for BL UEs in the C</w:t>
      </w:r>
      <w:r w:rsidR="00922936">
        <w:rPr>
          <w:sz w:val="22"/>
        </w:rPr>
        <w:t xml:space="preserve">E </w:t>
      </w:r>
      <w:proofErr w:type="spellStart"/>
      <w:r w:rsidR="00922936">
        <w:rPr>
          <w:sz w:val="22"/>
        </w:rPr>
        <w:t>Mode</w:t>
      </w:r>
      <w:r w:rsidR="007F785B">
        <w:rPr>
          <w:sz w:val="22"/>
        </w:rPr>
        <w:t>A</w:t>
      </w:r>
      <w:proofErr w:type="spellEnd"/>
      <w:r w:rsidR="007F785B">
        <w:rPr>
          <w:sz w:val="22"/>
        </w:rPr>
        <w:t xml:space="preserve"> range of </w:t>
      </w:r>
      <w:proofErr w:type="spellStart"/>
      <w:r w:rsidR="007F785B">
        <w:rPr>
          <w:sz w:val="22"/>
        </w:rPr>
        <w:t>Ês</w:t>
      </w:r>
      <w:proofErr w:type="spellEnd"/>
      <w:r w:rsidR="007F785B">
        <w:rPr>
          <w:sz w:val="22"/>
        </w:rPr>
        <w:t>/</w:t>
      </w:r>
      <w:proofErr w:type="spellStart"/>
      <w:r w:rsidR="007F785B">
        <w:rPr>
          <w:sz w:val="22"/>
        </w:rPr>
        <w:t>Iot</w:t>
      </w:r>
      <w:proofErr w:type="spellEnd"/>
      <w:r w:rsidR="007F785B">
        <w:rPr>
          <w:sz w:val="22"/>
        </w:rPr>
        <w:t>.</w:t>
      </w:r>
    </w:p>
    <w:p w:rsidR="005B323E" w:rsidRPr="007F785B" w:rsidRDefault="00D80957" w:rsidP="007F785B">
      <w:pPr>
        <w:pStyle w:val="Heading1"/>
        <w:pBdr>
          <w:top w:val="single" w:sz="12" w:space="2" w:color="auto"/>
        </w:pBdr>
        <w:rPr>
          <w:sz w:val="32"/>
          <w:lang w:val="en-CA"/>
        </w:rPr>
      </w:pPr>
      <w:r w:rsidRPr="00862C73">
        <w:rPr>
          <w:sz w:val="32"/>
          <w:lang w:val="en-CA"/>
        </w:rPr>
        <w:t>References</w:t>
      </w:r>
      <w:bookmarkEnd w:id="0"/>
      <w:bookmarkEnd w:id="1"/>
    </w:p>
    <w:p w:rsidR="006C15EF" w:rsidRPr="007F785B" w:rsidRDefault="00CA3F28" w:rsidP="007F785B">
      <w:pPr>
        <w:numPr>
          <w:ilvl w:val="0"/>
          <w:numId w:val="9"/>
        </w:numPr>
        <w:tabs>
          <w:tab w:val="left" w:pos="851"/>
        </w:tabs>
        <w:rPr>
          <w:rFonts w:ascii="Arial" w:hAnsi="Arial" w:cs="Arial"/>
          <w:sz w:val="22"/>
          <w:szCs w:val="22"/>
          <w:lang w:val="en-CA"/>
        </w:rPr>
      </w:pPr>
      <w:bookmarkStart w:id="3" w:name="_Ref489990903"/>
      <w:r w:rsidRPr="00CA3F28">
        <w:rPr>
          <w:rFonts w:ascii="Arial" w:hAnsi="Arial" w:cs="Arial"/>
          <w:sz w:val="22"/>
          <w:szCs w:val="22"/>
          <w:lang w:val="en-CA"/>
        </w:rPr>
        <w:t xml:space="preserve">R4-157724, “Improved RF margin for </w:t>
      </w:r>
      <w:proofErr w:type="spellStart"/>
      <w:r w:rsidRPr="00CA3F28">
        <w:rPr>
          <w:rFonts w:ascii="Arial" w:hAnsi="Arial" w:cs="Arial"/>
          <w:sz w:val="22"/>
          <w:szCs w:val="22"/>
          <w:lang w:val="en-CA"/>
        </w:rPr>
        <w:t>eMTC</w:t>
      </w:r>
      <w:proofErr w:type="spellEnd"/>
      <w:r w:rsidRPr="00CA3F28">
        <w:rPr>
          <w:rFonts w:ascii="Arial" w:hAnsi="Arial" w:cs="Arial"/>
          <w:sz w:val="22"/>
          <w:szCs w:val="22"/>
          <w:lang w:val="en-CA"/>
        </w:rPr>
        <w:t xml:space="preserve"> measurements”, Ericsson</w:t>
      </w:r>
      <w:bookmarkEnd w:id="3"/>
    </w:p>
    <w:p w:rsidR="009F15C9" w:rsidRDefault="009F15C9" w:rsidP="009F15C9">
      <w:pPr>
        <w:tabs>
          <w:tab w:val="left" w:pos="851"/>
        </w:tabs>
        <w:rPr>
          <w:rFonts w:ascii="Arial" w:hAnsi="Arial" w:cs="Arial"/>
          <w:sz w:val="22"/>
          <w:szCs w:val="22"/>
          <w:lang w:val="en-CA"/>
        </w:rPr>
      </w:pPr>
    </w:p>
    <w:sectPr w:rsidR="009F15C9" w:rsidSect="00D04AFA">
      <w:footerReference w:type="even" r:id="rId8"/>
      <w:footerReference w:type="default" r:id="rId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6558" w:rsidRDefault="00A56558">
      <w:r>
        <w:separator/>
      </w:r>
    </w:p>
  </w:endnote>
  <w:endnote w:type="continuationSeparator" w:id="0">
    <w:p w:rsidR="00A56558" w:rsidRDefault="00A56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265EE" w:rsidRDefault="00626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65EE" w:rsidRDefault="006265E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7145">
      <w:rPr>
        <w:rStyle w:val="PageNumber"/>
        <w:noProof/>
      </w:rPr>
      <w:t>1</w:t>
    </w:r>
    <w:r>
      <w:rPr>
        <w:rStyle w:val="PageNumber"/>
      </w:rPr>
      <w:fldChar w:fldCharType="end"/>
    </w:r>
  </w:p>
  <w:p w:rsidR="006265EE" w:rsidRDefault="00626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6558" w:rsidRDefault="00A56558">
      <w:r>
        <w:separator/>
      </w:r>
    </w:p>
  </w:footnote>
  <w:footnote w:type="continuationSeparator" w:id="0">
    <w:p w:rsidR="00A56558" w:rsidRDefault="00A56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1"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4"/>
  </w:num>
  <w:num w:numId="3">
    <w:abstractNumId w:val="42"/>
  </w:num>
  <w:num w:numId="4">
    <w:abstractNumId w:val="18"/>
  </w:num>
  <w:num w:numId="5">
    <w:abstractNumId w:val="26"/>
  </w:num>
  <w:num w:numId="6">
    <w:abstractNumId w:val="1"/>
  </w:num>
  <w:num w:numId="7">
    <w:abstractNumId w:val="0"/>
  </w:num>
  <w:num w:numId="8">
    <w:abstractNumId w:val="45"/>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7"/>
  </w:num>
  <w:num w:numId="20">
    <w:abstractNumId w:val="8"/>
  </w:num>
  <w:num w:numId="21">
    <w:abstractNumId w:val="36"/>
  </w:num>
  <w:num w:numId="22">
    <w:abstractNumId w:val="39"/>
  </w:num>
  <w:num w:numId="23">
    <w:abstractNumId w:val="27"/>
  </w:num>
  <w:num w:numId="24">
    <w:abstractNumId w:val="10"/>
  </w:num>
  <w:num w:numId="25">
    <w:abstractNumId w:val="38"/>
  </w:num>
  <w:num w:numId="26">
    <w:abstractNumId w:val="12"/>
  </w:num>
  <w:num w:numId="27">
    <w:abstractNumId w:val="42"/>
  </w:num>
  <w:num w:numId="28">
    <w:abstractNumId w:val="32"/>
  </w:num>
  <w:num w:numId="29">
    <w:abstractNumId w:val="19"/>
  </w:num>
  <w:num w:numId="30">
    <w:abstractNumId w:val="11"/>
  </w:num>
  <w:num w:numId="31">
    <w:abstractNumId w:val="42"/>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0"/>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1"/>
  </w:num>
  <w:num w:numId="47">
    <w:abstractNumId w:val="43"/>
  </w:num>
  <w:num w:numId="4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87F2C"/>
    <w:rsid w:val="000918CB"/>
    <w:rsid w:val="00091E1F"/>
    <w:rsid w:val="00092416"/>
    <w:rsid w:val="00092737"/>
    <w:rsid w:val="0009346C"/>
    <w:rsid w:val="00094894"/>
    <w:rsid w:val="00095E60"/>
    <w:rsid w:val="00096225"/>
    <w:rsid w:val="0009782E"/>
    <w:rsid w:val="00097BB2"/>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E60"/>
    <w:rsid w:val="00123A2E"/>
    <w:rsid w:val="001243FE"/>
    <w:rsid w:val="00124441"/>
    <w:rsid w:val="0012552E"/>
    <w:rsid w:val="00126DD9"/>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1E8C"/>
    <w:rsid w:val="0035333D"/>
    <w:rsid w:val="00353C0E"/>
    <w:rsid w:val="00353CE5"/>
    <w:rsid w:val="00354378"/>
    <w:rsid w:val="003546C5"/>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FA4"/>
    <w:rsid w:val="003862A7"/>
    <w:rsid w:val="00386372"/>
    <w:rsid w:val="00390123"/>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F4"/>
    <w:rsid w:val="003F7B15"/>
    <w:rsid w:val="00400196"/>
    <w:rsid w:val="00401142"/>
    <w:rsid w:val="004012EA"/>
    <w:rsid w:val="004027F4"/>
    <w:rsid w:val="004037F7"/>
    <w:rsid w:val="00403F5A"/>
    <w:rsid w:val="004047C0"/>
    <w:rsid w:val="00404B01"/>
    <w:rsid w:val="0040529A"/>
    <w:rsid w:val="00405304"/>
    <w:rsid w:val="004055A0"/>
    <w:rsid w:val="00405648"/>
    <w:rsid w:val="00405BE7"/>
    <w:rsid w:val="00405D13"/>
    <w:rsid w:val="00405DCF"/>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25A6"/>
    <w:rsid w:val="004A3CDF"/>
    <w:rsid w:val="004A4493"/>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124"/>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23E"/>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5D54"/>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1C5"/>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6FC6"/>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306"/>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43D"/>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7F785B"/>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04D8"/>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3AC"/>
    <w:rsid w:val="008A554A"/>
    <w:rsid w:val="008A57B3"/>
    <w:rsid w:val="008A7145"/>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2936"/>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854"/>
    <w:rsid w:val="009A6082"/>
    <w:rsid w:val="009A715C"/>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558"/>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214"/>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CB8"/>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3F28"/>
    <w:rsid w:val="00CA42E3"/>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11A"/>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427"/>
    <w:rsid w:val="00D545A7"/>
    <w:rsid w:val="00D548C9"/>
    <w:rsid w:val="00D54A3C"/>
    <w:rsid w:val="00D54D78"/>
    <w:rsid w:val="00D55083"/>
    <w:rsid w:val="00D5603E"/>
    <w:rsid w:val="00D561FC"/>
    <w:rsid w:val="00D56DA7"/>
    <w:rsid w:val="00D5729C"/>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55A"/>
    <w:rsid w:val="00DA0B31"/>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319"/>
    <w:rsid w:val="00E427A3"/>
    <w:rsid w:val="00E42E5C"/>
    <w:rsid w:val="00E434BE"/>
    <w:rsid w:val="00E437AC"/>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3CA1"/>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C53"/>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040"/>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4CE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4997B-852B-4A55-90F0-905012FC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2017-09-29T11:26:00Z</dcterms:created>
  <dcterms:modified xsi:type="dcterms:W3CDTF">2017-10-02T09:55:00Z</dcterms:modified>
</cp:coreProperties>
</file>